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BBD8" w14:textId="766C2019" w:rsidR="00C96B56" w:rsidRPr="00C96B56" w:rsidRDefault="00A8166F" w:rsidP="00C96B56">
      <w:pPr>
        <w:rPr>
          <w:i/>
        </w:rPr>
      </w:pPr>
      <w:r w:rsidRPr="0025789F">
        <w:rPr>
          <w:rStyle w:val="Heading3Char"/>
        </w:rPr>
        <w:t xml:space="preserve">Purpose of </w:t>
      </w:r>
      <w:r w:rsidR="0025789F">
        <w:rPr>
          <w:rStyle w:val="Heading3Char"/>
        </w:rPr>
        <w:t>this</w:t>
      </w:r>
      <w:r w:rsidRPr="0025789F">
        <w:rPr>
          <w:rStyle w:val="Heading3Char"/>
        </w:rPr>
        <w:t xml:space="preserve"> worksheet:</w:t>
      </w:r>
      <w:r w:rsidRPr="00A8166F">
        <w:t xml:space="preserve">  </w:t>
      </w:r>
      <w:r w:rsidR="002B63DD" w:rsidRPr="00A8166F">
        <w:t xml:space="preserve">To document annual plans so </w:t>
      </w:r>
      <w:r w:rsidR="002B63DD">
        <w:t xml:space="preserve">the annual plans </w:t>
      </w:r>
      <w:r w:rsidR="002B63DD" w:rsidRPr="00A8166F">
        <w:t xml:space="preserve">are ready to input into </w:t>
      </w:r>
      <w:proofErr w:type="spellStart"/>
      <w:r w:rsidR="002B63DD" w:rsidRPr="00A8166F">
        <w:t>Nuventive</w:t>
      </w:r>
      <w:proofErr w:type="spellEnd"/>
      <w:r w:rsidR="002B63DD" w:rsidRPr="00A8166F">
        <w:t xml:space="preserve">.  </w:t>
      </w:r>
      <w:r w:rsidRPr="00A8166F">
        <w:t>For internal use only within the division to help with brainstorming and internal discussions.</w:t>
      </w:r>
      <w:r w:rsidR="00C96B56">
        <w:t xml:space="preserve">  </w:t>
      </w:r>
      <w:r w:rsidRPr="00A8166F">
        <w:t>These completed worksheets do not need to be submitted</w:t>
      </w:r>
      <w:r w:rsidR="002B63DD">
        <w:t xml:space="preserve"> to IRP.</w:t>
      </w:r>
      <w:r w:rsidR="00C96B56">
        <w:t xml:space="preserve">  </w:t>
      </w:r>
      <w:r w:rsidR="00C96B56" w:rsidRPr="00C96B56">
        <w:rPr>
          <w:i/>
        </w:rPr>
        <w:t>Please refer to the Annual Planning Guide for more detailed guidance for developing goals, metrics, actions, and resources.</w:t>
      </w:r>
    </w:p>
    <w:tbl>
      <w:tblPr>
        <w:tblW w:w="13760" w:type="dxa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4169"/>
        <w:gridCol w:w="3389"/>
        <w:gridCol w:w="3512"/>
      </w:tblGrid>
      <w:tr w:rsidR="0006577C" w:rsidRPr="00592D49" w14:paraId="41D654BB" w14:textId="77777777" w:rsidTr="00ED09F3">
        <w:trPr>
          <w:trHeight w:val="546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1AE339A1" w14:textId="64700F37" w:rsidR="0006577C" w:rsidRPr="00592D49" w:rsidRDefault="0025789F" w:rsidP="007D7910">
            <w:pPr>
              <w:spacing w:after="0"/>
              <w:rPr>
                <w:b/>
                <w:bCs/>
                <w:sz w:val="20"/>
              </w:rPr>
            </w:pPr>
            <w:r w:rsidRPr="0025789F">
              <w:t xml:space="preserve"> </w:t>
            </w:r>
            <w:r w:rsidR="0006577C" w:rsidRPr="00592D49">
              <w:rPr>
                <w:b/>
                <w:bCs/>
                <w:sz w:val="20"/>
              </w:rPr>
              <w:t>Goal Title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A268A77" w14:textId="77777777" w:rsidR="0006577C" w:rsidRPr="00592D49" w:rsidRDefault="0006577C" w:rsidP="007D7910">
            <w:pPr>
              <w:spacing w:after="0"/>
              <w:rPr>
                <w:sz w:val="20"/>
              </w:rPr>
            </w:pPr>
            <w:r w:rsidRPr="00592D49">
              <w:rPr>
                <w:b/>
                <w:bCs/>
                <w:sz w:val="20"/>
              </w:rPr>
              <w:t>Goal Description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39ABAD1" w14:textId="77777777" w:rsidR="0006577C" w:rsidRPr="00592D49" w:rsidRDefault="0006577C" w:rsidP="007D7910">
            <w:pPr>
              <w:spacing w:after="0"/>
              <w:rPr>
                <w:sz w:val="20"/>
              </w:rPr>
            </w:pPr>
            <w:r w:rsidRPr="00592D49">
              <w:rPr>
                <w:b/>
                <w:bCs/>
                <w:sz w:val="20"/>
              </w:rPr>
              <w:t>Metric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1FDB79E" w14:textId="77777777" w:rsidR="0006577C" w:rsidRPr="00592D49" w:rsidRDefault="0006577C" w:rsidP="007D7910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Actions</w:t>
            </w:r>
          </w:p>
          <w:p w14:paraId="2D7A247B" w14:textId="77777777" w:rsidR="0006577C" w:rsidRPr="00592D49" w:rsidRDefault="0006577C" w:rsidP="007D7910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(optional for Divisions)</w:t>
            </w:r>
          </w:p>
        </w:tc>
      </w:tr>
      <w:tr w:rsidR="0006577C" w:rsidRPr="00592D49" w14:paraId="3C4AD6CA" w14:textId="77777777" w:rsidTr="00ED09F3">
        <w:trPr>
          <w:trHeight w:val="1345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5FCD" w14:textId="6F4B88C6" w:rsidR="0006577C" w:rsidRPr="00592D49" w:rsidRDefault="0006577C" w:rsidP="00A8166F">
            <w:pPr>
              <w:rPr>
                <w:i/>
                <w:iCs/>
                <w:sz w:val="20"/>
              </w:rPr>
            </w:pPr>
            <w:r w:rsidRPr="00592D49">
              <w:rPr>
                <w:i/>
                <w:iCs/>
                <w:sz w:val="20"/>
              </w:rPr>
              <w:t xml:space="preserve">A </w:t>
            </w:r>
            <w:r w:rsidR="00783D45">
              <w:rPr>
                <w:i/>
                <w:iCs/>
                <w:sz w:val="20"/>
              </w:rPr>
              <w:t xml:space="preserve">short </w:t>
            </w:r>
            <w:r w:rsidR="007D7910">
              <w:rPr>
                <w:i/>
                <w:iCs/>
                <w:sz w:val="20"/>
              </w:rPr>
              <w:t xml:space="preserve">distinct </w:t>
            </w:r>
            <w:r w:rsidRPr="00592D49">
              <w:rPr>
                <w:i/>
                <w:iCs/>
                <w:sz w:val="20"/>
              </w:rPr>
              <w:t xml:space="preserve">one-line </w:t>
            </w:r>
            <w:r w:rsidR="00783D45">
              <w:rPr>
                <w:i/>
                <w:iCs/>
                <w:sz w:val="20"/>
              </w:rPr>
              <w:t>summary</w:t>
            </w:r>
            <w:r w:rsidRPr="00592D49">
              <w:rPr>
                <w:i/>
                <w:iCs/>
                <w:sz w:val="20"/>
              </w:rPr>
              <w:t xml:space="preserve"> to identify this goal</w:t>
            </w:r>
            <w:r w:rsidR="007D7910">
              <w:rPr>
                <w:i/>
                <w:iCs/>
                <w:sz w:val="20"/>
              </w:rPr>
              <w:t>.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2D11B75" w14:textId="77777777" w:rsidR="0006577C" w:rsidRPr="00592D49" w:rsidRDefault="0006577C" w:rsidP="00A8166F">
            <w:pPr>
              <w:rPr>
                <w:sz w:val="20"/>
              </w:rPr>
            </w:pPr>
            <w:r w:rsidRPr="00592D49">
              <w:rPr>
                <w:i/>
                <w:iCs/>
                <w:sz w:val="20"/>
              </w:rPr>
              <w:t xml:space="preserve">A goal is a statement that </w:t>
            </w:r>
            <w:r w:rsidR="00BA7A76">
              <w:rPr>
                <w:i/>
                <w:iCs/>
                <w:sz w:val="20"/>
              </w:rPr>
              <w:t>describes the change needed beyond the status quo for greater efficiency, effectiveness, and impact.  Goal statements may start with verbs such as: improve, increase, enhance, strengthen, grow, etc.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B172521" w14:textId="77777777" w:rsidR="0006577C" w:rsidRPr="00F36EDC" w:rsidRDefault="0006577C" w:rsidP="00A8166F">
            <w:pPr>
              <w:rPr>
                <w:i/>
                <w:iCs/>
                <w:sz w:val="20"/>
              </w:rPr>
            </w:pPr>
            <w:r w:rsidRPr="00592D49">
              <w:rPr>
                <w:i/>
                <w:iCs/>
                <w:sz w:val="20"/>
              </w:rPr>
              <w:t>How will we know when the goal has been achieved?</w:t>
            </w:r>
            <w:r w:rsidR="00F36EDC">
              <w:rPr>
                <w:i/>
                <w:iCs/>
                <w:sz w:val="20"/>
              </w:rPr>
              <w:t xml:space="preserve"> (either a quantitative indicator and target or a qualitative accomplishment statement)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1F843B8" w14:textId="01A7B4EC" w:rsidR="0006577C" w:rsidRPr="00783D45" w:rsidRDefault="0006577C" w:rsidP="00A8166F">
            <w:pPr>
              <w:rPr>
                <w:i/>
                <w:sz w:val="20"/>
              </w:rPr>
            </w:pPr>
            <w:r w:rsidRPr="00783D45">
              <w:rPr>
                <w:i/>
                <w:sz w:val="20"/>
              </w:rPr>
              <w:t>Actions are tasks to complete in order to achieve an objective (e.g.</w:t>
            </w:r>
            <w:r w:rsidR="00783D45">
              <w:rPr>
                <w:i/>
                <w:sz w:val="20"/>
              </w:rPr>
              <w:t>, u</w:t>
            </w:r>
            <w:r w:rsidRPr="00783D45">
              <w:rPr>
                <w:i/>
                <w:sz w:val="20"/>
              </w:rPr>
              <w:t xml:space="preserve">pdate procedures, create templates, protocols, guides, fundraise, develop training, etc.). </w:t>
            </w:r>
            <w:r w:rsidR="00783D45" w:rsidRPr="00783D45">
              <w:rPr>
                <w:i/>
                <w:sz w:val="20"/>
              </w:rPr>
              <w:t>One goal can have one or more than one action</w:t>
            </w:r>
            <w:r w:rsidR="00783D45">
              <w:rPr>
                <w:i/>
                <w:sz w:val="20"/>
              </w:rPr>
              <w:t>, although no more than three actions are recommended.</w:t>
            </w:r>
            <w:r w:rsidR="00AF4CA5">
              <w:rPr>
                <w:i/>
                <w:sz w:val="20"/>
              </w:rPr>
              <w:t xml:space="preserve">  </w:t>
            </w:r>
          </w:p>
        </w:tc>
      </w:tr>
      <w:tr w:rsidR="0006577C" w:rsidRPr="00592D49" w14:paraId="05B4BBBA" w14:textId="77777777" w:rsidTr="00ED09F3">
        <w:trPr>
          <w:trHeight w:val="177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DE66" w14:textId="68CABE40" w:rsidR="0006577C" w:rsidRPr="0025789F" w:rsidRDefault="0006577C" w:rsidP="0025789F">
            <w:pPr>
              <w:tabs>
                <w:tab w:val="left" w:pos="908"/>
              </w:tabs>
              <w:rPr>
                <w:sz w:val="20"/>
              </w:rPr>
            </w:pP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2C4A9BA" w14:textId="77777777" w:rsidR="0006577C" w:rsidRPr="00592D49" w:rsidRDefault="0006577C" w:rsidP="00A8166F">
            <w:pPr>
              <w:rPr>
                <w:sz w:val="20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DB000AA" w14:textId="77777777" w:rsidR="0006577C" w:rsidRPr="00592D49" w:rsidRDefault="0006577C" w:rsidP="00A8166F">
            <w:pPr>
              <w:rPr>
                <w:sz w:val="20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4164729" w14:textId="77777777" w:rsidR="0006577C" w:rsidRPr="00592D49" w:rsidRDefault="0006577C" w:rsidP="00A8166F">
            <w:pPr>
              <w:rPr>
                <w:sz w:val="20"/>
              </w:rPr>
            </w:pPr>
          </w:p>
        </w:tc>
      </w:tr>
      <w:tr w:rsidR="0006577C" w:rsidRPr="00592D49" w14:paraId="62B37480" w14:textId="77777777" w:rsidTr="00ED09F3">
        <w:trPr>
          <w:trHeight w:val="177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27B28" w14:textId="77777777" w:rsidR="0006577C" w:rsidRPr="00592D49" w:rsidRDefault="0006577C" w:rsidP="00A8166F">
            <w:pPr>
              <w:rPr>
                <w:sz w:val="20"/>
              </w:rPr>
            </w:pP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B8B63ED" w14:textId="77777777" w:rsidR="0006577C" w:rsidRPr="00592D49" w:rsidRDefault="0006577C" w:rsidP="00A8166F">
            <w:pPr>
              <w:rPr>
                <w:sz w:val="20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D85765B" w14:textId="77777777" w:rsidR="0006577C" w:rsidRPr="00592D49" w:rsidRDefault="0006577C" w:rsidP="00A8166F">
            <w:pPr>
              <w:rPr>
                <w:sz w:val="20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41A5ECB" w14:textId="77777777" w:rsidR="0006577C" w:rsidRPr="00592D49" w:rsidRDefault="0006577C" w:rsidP="00A8166F">
            <w:pPr>
              <w:rPr>
                <w:sz w:val="20"/>
              </w:rPr>
            </w:pPr>
          </w:p>
        </w:tc>
      </w:tr>
      <w:tr w:rsidR="00C96B56" w:rsidRPr="00592D49" w14:paraId="5EDD4D01" w14:textId="77777777" w:rsidTr="00ED09F3">
        <w:trPr>
          <w:trHeight w:val="177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4FD2" w14:textId="77777777" w:rsidR="00C96B56" w:rsidRPr="00592D49" w:rsidRDefault="00C96B56" w:rsidP="00A8166F">
            <w:pPr>
              <w:rPr>
                <w:sz w:val="20"/>
              </w:rPr>
            </w:pP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A2CF937" w14:textId="77777777" w:rsidR="00C96B56" w:rsidRPr="00592D49" w:rsidRDefault="00C96B56" w:rsidP="00A8166F">
            <w:pPr>
              <w:rPr>
                <w:sz w:val="20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A618938" w14:textId="77777777" w:rsidR="00C96B56" w:rsidRPr="00592D49" w:rsidRDefault="00C96B56" w:rsidP="00A8166F">
            <w:pPr>
              <w:rPr>
                <w:sz w:val="20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ADA2C2B" w14:textId="77777777" w:rsidR="00C96B56" w:rsidRPr="00592D49" w:rsidRDefault="00C96B56" w:rsidP="00A8166F">
            <w:pPr>
              <w:rPr>
                <w:sz w:val="20"/>
              </w:rPr>
            </w:pPr>
          </w:p>
        </w:tc>
      </w:tr>
    </w:tbl>
    <w:p w14:paraId="19893BC7" w14:textId="77777777" w:rsidR="00A8166F" w:rsidRDefault="00A8166F"/>
    <w:tbl>
      <w:tblPr>
        <w:tblW w:w="13732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37"/>
        <w:gridCol w:w="1616"/>
        <w:gridCol w:w="1527"/>
        <w:gridCol w:w="2694"/>
        <w:gridCol w:w="2425"/>
        <w:gridCol w:w="1437"/>
        <w:gridCol w:w="1796"/>
      </w:tblGrid>
      <w:tr w:rsidR="009451AC" w:rsidRPr="00592D49" w14:paraId="76F7FD01" w14:textId="77777777" w:rsidTr="009451AC">
        <w:trPr>
          <w:trHeight w:val="35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79C9B12" w14:textId="77777777" w:rsidR="0052319C" w:rsidRPr="00592D49" w:rsidRDefault="0052319C" w:rsidP="00D42F25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lastRenderedPageBreak/>
              <w:t>Resources</w:t>
            </w:r>
          </w:p>
          <w:p w14:paraId="5DF5D0BD" w14:textId="77777777" w:rsidR="0052319C" w:rsidRPr="00592D49" w:rsidRDefault="0052319C" w:rsidP="00D42F25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(optional for Divisions)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3A55BC46" w14:textId="77777777" w:rsidR="0052319C" w:rsidRPr="00592D49" w:rsidRDefault="0052319C" w:rsidP="00D42F25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Goal Title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0624AC90" w14:textId="77777777" w:rsidR="0052319C" w:rsidRPr="00592D49" w:rsidRDefault="0052319C" w:rsidP="00D42F25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Action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10E31C18" w14:textId="1A7A5F63" w:rsidR="0052319C" w:rsidRPr="00592D49" w:rsidRDefault="0052319C" w:rsidP="00D42F2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Rationale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47FCCFB4" w14:textId="6D69DA28" w:rsidR="0052319C" w:rsidRPr="00592D49" w:rsidRDefault="0052319C" w:rsidP="00D42F25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Funding category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48B8F97E" w14:textId="5F8DF17B" w:rsidR="0052319C" w:rsidRPr="00592D49" w:rsidRDefault="0052319C" w:rsidP="00D42F25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Estimated cost</w:t>
            </w:r>
            <w:r>
              <w:rPr>
                <w:sz w:val="20"/>
              </w:rPr>
              <w:t xml:space="preserve"> per category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7B482D16" w14:textId="77777777" w:rsidR="0052319C" w:rsidRPr="00592D49" w:rsidRDefault="0052319C" w:rsidP="00D42F25">
            <w:pPr>
              <w:spacing w:after="0"/>
              <w:rPr>
                <w:sz w:val="20"/>
              </w:rPr>
            </w:pPr>
            <w:r w:rsidRPr="00592D49">
              <w:rPr>
                <w:sz w:val="20"/>
              </w:rPr>
              <w:t>Does this funding request address a risk?</w:t>
            </w:r>
          </w:p>
        </w:tc>
      </w:tr>
      <w:tr w:rsidR="009451AC" w:rsidRPr="00592D49" w14:paraId="26D017DB" w14:textId="77777777" w:rsidTr="009451AC">
        <w:trPr>
          <w:trHeight w:val="2086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3204A08" w14:textId="2E5DFC21" w:rsidR="0052319C" w:rsidRPr="00AF4CA5" w:rsidRDefault="0052319C" w:rsidP="009451A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Describe the r</w:t>
            </w:r>
            <w:r w:rsidRPr="00AF4CA5">
              <w:rPr>
                <w:i/>
                <w:sz w:val="20"/>
              </w:rPr>
              <w:t>esources needed to complete the action</w:t>
            </w:r>
            <w:r>
              <w:rPr>
                <w:i/>
                <w:sz w:val="20"/>
              </w:rPr>
              <w:t>s</w:t>
            </w:r>
            <w:r w:rsidRPr="00AF4CA5">
              <w:rPr>
                <w:i/>
                <w:sz w:val="20"/>
              </w:rPr>
              <w:t xml:space="preserve"> and achieve the goal</w:t>
            </w:r>
            <w:r>
              <w:rPr>
                <w:i/>
                <w:sz w:val="20"/>
              </w:rPr>
              <w:t>s of the division/unit</w:t>
            </w:r>
            <w:r w:rsidRPr="00AF4CA5">
              <w:rPr>
                <w:i/>
                <w:sz w:val="20"/>
              </w:rPr>
              <w:t xml:space="preserve">.  </w:t>
            </w:r>
          </w:p>
          <w:p w14:paraId="28C4C78F" w14:textId="13945F64" w:rsidR="0052319C" w:rsidRPr="00AF4CA5" w:rsidRDefault="0052319C" w:rsidP="009451AC">
            <w:pPr>
              <w:spacing w:after="0" w:line="240" w:lineRule="auto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 xml:space="preserve">(e.g., </w:t>
            </w:r>
            <w:bookmarkStart w:id="0" w:name="_GoBack"/>
            <w:bookmarkEnd w:id="0"/>
            <w:r w:rsidRPr="00AF4CA5">
              <w:rPr>
                <w:i/>
                <w:sz w:val="20"/>
              </w:rPr>
              <w:t>staff with specialized skills, access to softwar</w:t>
            </w:r>
            <w:r>
              <w:rPr>
                <w:i/>
                <w:sz w:val="20"/>
              </w:rPr>
              <w:t xml:space="preserve">e or equipment)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8AB3" w14:textId="0EA794D8" w:rsidR="0052319C" w:rsidRPr="00AF4CA5" w:rsidRDefault="0052319C" w:rsidP="009451AC">
            <w:pPr>
              <w:spacing w:line="240" w:lineRule="auto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 xml:space="preserve">Goal </w:t>
            </w:r>
            <w:r>
              <w:rPr>
                <w:i/>
                <w:sz w:val="20"/>
              </w:rPr>
              <w:t xml:space="preserve">of the division </w:t>
            </w:r>
            <w:r w:rsidRPr="00AF4CA5">
              <w:rPr>
                <w:i/>
                <w:sz w:val="20"/>
              </w:rPr>
              <w:t xml:space="preserve">that </w:t>
            </w:r>
            <w:r w:rsidR="009451AC">
              <w:rPr>
                <w:i/>
                <w:sz w:val="20"/>
              </w:rPr>
              <w:t>this</w:t>
            </w:r>
            <w:r w:rsidRPr="00AF4CA5">
              <w:rPr>
                <w:i/>
                <w:sz w:val="20"/>
              </w:rPr>
              <w:t xml:space="preserve"> resource will support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AF05" w14:textId="4E05E335" w:rsidR="0052319C" w:rsidRPr="00AF4CA5" w:rsidRDefault="0052319C" w:rsidP="009451AC">
            <w:pPr>
              <w:spacing w:line="240" w:lineRule="auto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 xml:space="preserve">Action that </w:t>
            </w:r>
            <w:r w:rsidR="009451AC">
              <w:rPr>
                <w:i/>
                <w:sz w:val="20"/>
              </w:rPr>
              <w:t xml:space="preserve">this </w:t>
            </w:r>
            <w:r w:rsidRPr="00AF4CA5">
              <w:rPr>
                <w:i/>
                <w:sz w:val="20"/>
              </w:rPr>
              <w:t>resource will help complete.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1E21" w14:textId="1F9758D3" w:rsidR="0052319C" w:rsidRDefault="0052319C" w:rsidP="009451A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How will the resource support the goals of the division?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4E59" w14:textId="0E26F45C" w:rsidR="0052319C" w:rsidRPr="00AF4CA5" w:rsidRDefault="0052319C" w:rsidP="009451A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Which category most closely describes this resource request?</w:t>
            </w:r>
          </w:p>
          <w:p w14:paraId="57B571B7" w14:textId="77777777" w:rsidR="0052319C" w:rsidRPr="00AF4CA5" w:rsidRDefault="0052319C" w:rsidP="00945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4" w:hanging="295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 xml:space="preserve">staffing, </w:t>
            </w:r>
          </w:p>
          <w:p w14:paraId="66D85AF6" w14:textId="77777777" w:rsidR="0052319C" w:rsidRPr="00AF4CA5" w:rsidRDefault="0052319C" w:rsidP="00945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4" w:hanging="295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 xml:space="preserve">technology/software, </w:t>
            </w:r>
          </w:p>
          <w:p w14:paraId="15267546" w14:textId="77777777" w:rsidR="0052319C" w:rsidRPr="00AF4CA5" w:rsidRDefault="0052319C" w:rsidP="00945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4" w:hanging="295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 xml:space="preserve">instructional equipment, </w:t>
            </w:r>
          </w:p>
          <w:p w14:paraId="7F6DB31A" w14:textId="77777777" w:rsidR="0052319C" w:rsidRPr="00AF4CA5" w:rsidRDefault="0052319C" w:rsidP="00945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4" w:hanging="295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 xml:space="preserve">non-instructional equipment, </w:t>
            </w:r>
          </w:p>
          <w:p w14:paraId="2E7CE0E3" w14:textId="77777777" w:rsidR="0052319C" w:rsidRPr="00AF4CA5" w:rsidRDefault="0052319C" w:rsidP="00945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4" w:hanging="295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furniture,</w:t>
            </w:r>
          </w:p>
          <w:p w14:paraId="288D4103" w14:textId="77777777" w:rsidR="0052319C" w:rsidRPr="00AF4CA5" w:rsidRDefault="0052319C" w:rsidP="00945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4" w:hanging="295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facilities, and</w:t>
            </w:r>
          </w:p>
          <w:p w14:paraId="7B104348" w14:textId="1ED9E75B" w:rsidR="0052319C" w:rsidRPr="00AF4CA5" w:rsidRDefault="0052319C" w:rsidP="00945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4" w:hanging="295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contracts, services, memberships, travel and conferences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13A6" w14:textId="29D5BD55" w:rsidR="0052319C" w:rsidRPr="00AF4CA5" w:rsidRDefault="0052319C" w:rsidP="009451AC">
            <w:pPr>
              <w:spacing w:line="240" w:lineRule="auto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List $ dollar amount</w:t>
            </w:r>
            <w:r>
              <w:rPr>
                <w:i/>
                <w:sz w:val="20"/>
              </w:rPr>
              <w:t xml:space="preserve"> needed above and beyond current budget allocations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8FC3" w14:textId="77777777" w:rsidR="0052319C" w:rsidRPr="00AF4CA5" w:rsidRDefault="0052319C" w:rsidP="009451AC">
            <w:pPr>
              <w:spacing w:line="240" w:lineRule="auto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YES or NO?</w:t>
            </w:r>
          </w:p>
          <w:p w14:paraId="33615B20" w14:textId="216A4907" w:rsidR="0052319C" w:rsidRPr="00AF4CA5" w:rsidRDefault="0052319C" w:rsidP="009451AC">
            <w:pPr>
              <w:spacing w:line="240" w:lineRule="auto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The budget request(s) is fully and directly related to eliminating, preventing or reducing</w:t>
            </w:r>
          </w:p>
          <w:p w14:paraId="50561AAD" w14:textId="39D65F62" w:rsidR="0052319C" w:rsidRPr="00AF4CA5" w:rsidRDefault="0052319C" w:rsidP="009451A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06" w:hanging="180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a known condition likely to result in harm, injury, illness, exposure, loss of life or destruction of property (health/safety risk)</w:t>
            </w:r>
          </w:p>
          <w:p w14:paraId="153E6D4B" w14:textId="6A412B06" w:rsidR="0052319C" w:rsidRPr="00AF4CA5" w:rsidRDefault="0052319C" w:rsidP="009451A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06" w:hanging="180"/>
              <w:rPr>
                <w:i/>
                <w:sz w:val="20"/>
              </w:rPr>
            </w:pPr>
            <w:r w:rsidRPr="00AF4CA5">
              <w:rPr>
                <w:i/>
                <w:sz w:val="20"/>
              </w:rPr>
              <w:t>the likelihood of a lawsuit, fine, citation or reputational damage against the District (liability risk)</w:t>
            </w:r>
          </w:p>
        </w:tc>
      </w:tr>
      <w:tr w:rsidR="0052319C" w:rsidRPr="00592D49" w14:paraId="20EFF4F9" w14:textId="77777777" w:rsidTr="009451AC">
        <w:trPr>
          <w:trHeight w:val="796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830013B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F1A7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5681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93D2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6D99" w14:textId="08C8F898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8582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C10A" w14:textId="77777777" w:rsidR="0052319C" w:rsidRPr="00592D49" w:rsidRDefault="0052319C" w:rsidP="00A8166F">
            <w:pPr>
              <w:rPr>
                <w:sz w:val="20"/>
              </w:rPr>
            </w:pPr>
          </w:p>
        </w:tc>
      </w:tr>
      <w:tr w:rsidR="0052319C" w:rsidRPr="00592D49" w14:paraId="346F23E9" w14:textId="77777777" w:rsidTr="009451AC">
        <w:trPr>
          <w:trHeight w:val="796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71594A8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4EF96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1F50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5AD56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ED63" w14:textId="174545DB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C26F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0380" w14:textId="77777777" w:rsidR="0052319C" w:rsidRPr="00592D49" w:rsidRDefault="0052319C" w:rsidP="00A8166F">
            <w:pPr>
              <w:rPr>
                <w:sz w:val="20"/>
              </w:rPr>
            </w:pPr>
          </w:p>
        </w:tc>
      </w:tr>
      <w:tr w:rsidR="0052319C" w:rsidRPr="00592D49" w14:paraId="272694E0" w14:textId="77777777" w:rsidTr="009451AC">
        <w:trPr>
          <w:trHeight w:val="796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5070DB2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55370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A723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0ECD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2970D" w14:textId="0070A0D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D62A" w14:textId="77777777" w:rsidR="0052319C" w:rsidRPr="00592D49" w:rsidRDefault="0052319C" w:rsidP="00A8166F">
            <w:pPr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009F" w14:textId="77777777" w:rsidR="0052319C" w:rsidRPr="00592D49" w:rsidRDefault="0052319C" w:rsidP="00A8166F">
            <w:pPr>
              <w:rPr>
                <w:sz w:val="20"/>
              </w:rPr>
            </w:pPr>
          </w:p>
        </w:tc>
      </w:tr>
    </w:tbl>
    <w:p w14:paraId="33647664" w14:textId="5B45904C" w:rsidR="00A8166F" w:rsidRDefault="00A8166F" w:rsidP="00ED09F3"/>
    <w:sectPr w:rsidR="00A8166F" w:rsidSect="00ED09F3">
      <w:headerReference w:type="default" r:id="rId11"/>
      <w:footerReference w:type="default" r:id="rId12"/>
      <w:pgSz w:w="15840" w:h="12240" w:orient="landscape"/>
      <w:pgMar w:top="1267" w:right="1008" w:bottom="720" w:left="1008" w:header="36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087B" w14:textId="77777777" w:rsidR="00F36EDC" w:rsidRDefault="00F36EDC" w:rsidP="0025789F">
      <w:pPr>
        <w:spacing w:after="0" w:line="240" w:lineRule="auto"/>
      </w:pPr>
      <w:r>
        <w:separator/>
      </w:r>
    </w:p>
  </w:endnote>
  <w:endnote w:type="continuationSeparator" w:id="0">
    <w:p w14:paraId="7D8A3944" w14:textId="77777777" w:rsidR="00F36EDC" w:rsidRDefault="00F36EDC" w:rsidP="0025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F346" w14:textId="717DAFDD" w:rsidR="00F36EDC" w:rsidRPr="002B63DD" w:rsidRDefault="00F36EDC" w:rsidP="002B63DD">
    <w:pPr>
      <w:pStyle w:val="Footer"/>
      <w:jc w:val="both"/>
      <w:rPr>
        <w:sz w:val="20"/>
      </w:rPr>
    </w:pPr>
    <w:r w:rsidRPr="002B63DD">
      <w:rPr>
        <w:noProof/>
        <w:color w:val="000000" w:themeColor="text1"/>
        <w:sz w:val="18"/>
      </w:rPr>
      <w:drawing>
        <wp:inline distT="0" distB="0" distL="0" distR="0" wp14:anchorId="18A0D98D" wp14:editId="6DC6B310">
          <wp:extent cx="807068" cy="40353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earch &amp; Plann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11" cy="41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</w:t>
    </w:r>
    <w:r w:rsidR="00C96B56">
      <w:rPr>
        <w:sz w:val="20"/>
      </w:rPr>
      <w:tab/>
    </w:r>
    <w:r w:rsidR="00C96B56">
      <w:rPr>
        <w:sz w:val="20"/>
      </w:rPr>
      <w:tab/>
    </w:r>
    <w:r w:rsidRPr="002B63DD">
      <w:rPr>
        <w:sz w:val="20"/>
      </w:rPr>
      <w:t>Revised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948A4" w14:textId="77777777" w:rsidR="00F36EDC" w:rsidRDefault="00F36EDC" w:rsidP="0025789F">
      <w:pPr>
        <w:spacing w:after="0" w:line="240" w:lineRule="auto"/>
      </w:pPr>
      <w:r>
        <w:separator/>
      </w:r>
    </w:p>
  </w:footnote>
  <w:footnote w:type="continuationSeparator" w:id="0">
    <w:p w14:paraId="56B836AF" w14:textId="77777777" w:rsidR="00F36EDC" w:rsidRDefault="00F36EDC" w:rsidP="0025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E38D" w14:textId="77777777" w:rsidR="00C96B56" w:rsidRPr="00ED09F3" w:rsidRDefault="00C96B56" w:rsidP="00C96B56">
    <w:pPr>
      <w:pStyle w:val="Heading1"/>
      <w:rPr>
        <w:i/>
      </w:rPr>
    </w:pPr>
    <w:r w:rsidRPr="00ED09F3">
      <w:rPr>
        <w:i/>
      </w:rPr>
      <w:t>Annual Planning Worksheet – for Divisions/Units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53C"/>
    <w:multiLevelType w:val="hybridMultilevel"/>
    <w:tmpl w:val="AE185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A3D"/>
    <w:multiLevelType w:val="hybridMultilevel"/>
    <w:tmpl w:val="AE185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77375"/>
    <w:multiLevelType w:val="hybridMultilevel"/>
    <w:tmpl w:val="72D4C3EA"/>
    <w:lvl w:ilvl="0" w:tplc="6598EA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C4A31"/>
    <w:multiLevelType w:val="hybridMultilevel"/>
    <w:tmpl w:val="F44E1B80"/>
    <w:lvl w:ilvl="0" w:tplc="0D40C6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430B3"/>
    <w:multiLevelType w:val="hybridMultilevel"/>
    <w:tmpl w:val="39AA8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6F"/>
    <w:rsid w:val="0006577C"/>
    <w:rsid w:val="0025789F"/>
    <w:rsid w:val="002B63DD"/>
    <w:rsid w:val="00304592"/>
    <w:rsid w:val="00475ED2"/>
    <w:rsid w:val="00484105"/>
    <w:rsid w:val="0052319C"/>
    <w:rsid w:val="00592D49"/>
    <w:rsid w:val="00592F4C"/>
    <w:rsid w:val="00643DDB"/>
    <w:rsid w:val="00783D45"/>
    <w:rsid w:val="007D7910"/>
    <w:rsid w:val="009451AC"/>
    <w:rsid w:val="00A8166F"/>
    <w:rsid w:val="00AF4CA5"/>
    <w:rsid w:val="00BA7A76"/>
    <w:rsid w:val="00C96B56"/>
    <w:rsid w:val="00D42F25"/>
    <w:rsid w:val="00ED09F3"/>
    <w:rsid w:val="00F36EDC"/>
    <w:rsid w:val="00F57B9C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05988"/>
  <w15:chartTrackingRefBased/>
  <w15:docId w15:val="{8D99B40F-7F21-4C49-ACCF-DA5CD976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66F"/>
  </w:style>
  <w:style w:type="paragraph" w:styleId="Heading1">
    <w:name w:val="heading 1"/>
    <w:basedOn w:val="Normal"/>
    <w:next w:val="Normal"/>
    <w:link w:val="Heading1Char"/>
    <w:uiPriority w:val="9"/>
    <w:qFormat/>
    <w:rsid w:val="00C96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78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9F"/>
  </w:style>
  <w:style w:type="paragraph" w:styleId="Footer">
    <w:name w:val="footer"/>
    <w:basedOn w:val="Normal"/>
    <w:link w:val="FooterChar"/>
    <w:uiPriority w:val="99"/>
    <w:unhideWhenUsed/>
    <w:rsid w:val="0025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9F"/>
  </w:style>
  <w:style w:type="paragraph" w:styleId="ListParagraph">
    <w:name w:val="List Paragraph"/>
    <w:basedOn w:val="Normal"/>
    <w:uiPriority w:val="34"/>
    <w:qFormat/>
    <w:rsid w:val="00AF4C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6D3EA364BD047B795EF0DDE408CF9" ma:contentTypeVersion="12" ma:contentTypeDescription="Create a new document." ma:contentTypeScope="" ma:versionID="8117a817f1ab1e111c195ce1ec2d0089">
  <xsd:schema xmlns:xsd="http://www.w3.org/2001/XMLSchema" xmlns:xs="http://www.w3.org/2001/XMLSchema" xmlns:p="http://schemas.microsoft.com/office/2006/metadata/properties" xmlns:ns3="2adda741-c8ca-4ff7-9e7d-eb0832e67851" xmlns:ns4="0aaaa5ab-f4bc-4284-8bbc-29e124b45ef4" targetNamespace="http://schemas.microsoft.com/office/2006/metadata/properties" ma:root="true" ma:fieldsID="32cc8c670568052e0169ca0371da6750" ns3:_="" ns4:_="">
    <xsd:import namespace="2adda741-c8ca-4ff7-9e7d-eb0832e67851"/>
    <xsd:import namespace="0aaaa5ab-f4bc-4284-8bbc-29e124b45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a741-c8ca-4ff7-9e7d-eb0832e678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a5ab-f4bc-4284-8bbc-29e124b45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416E-2873-4C80-A398-366B86E0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da741-c8ca-4ff7-9e7d-eb0832e67851"/>
    <ds:schemaRef ds:uri="0aaaa5ab-f4bc-4284-8bbc-29e124b45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DEADD-C364-456C-BD11-BAB389481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FB0F9-D3C1-4AF6-A56B-BAD16D5B7413}">
  <ds:schemaRefs>
    <ds:schemaRef ds:uri="http://schemas.microsoft.com/office/2006/metadata/properties"/>
    <ds:schemaRef ds:uri="http://schemas.microsoft.com/office/2006/documentManagement/types"/>
    <ds:schemaRef ds:uri="2adda741-c8ca-4ff7-9e7d-eb0832e67851"/>
    <ds:schemaRef ds:uri="http://purl.org/dc/elements/1.1/"/>
    <ds:schemaRef ds:uri="0aaaa5ab-f4bc-4284-8bbc-29e124b45ef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9F61D5-9DAD-4D68-A393-183938A9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Ou, Grace</dc:creator>
  <cp:keywords/>
  <dc:description/>
  <cp:lastModifiedBy>Ou, Grace</cp:lastModifiedBy>
  <cp:revision>7</cp:revision>
  <dcterms:created xsi:type="dcterms:W3CDTF">2021-10-25T23:38:00Z</dcterms:created>
  <dcterms:modified xsi:type="dcterms:W3CDTF">2021-10-26T00:15:00Z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0x01010035B6D3EA364BD047B795EF0DDE408CF9</vt:lpwstr>
  </property>
</Properties>
</file>